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9E688">
      <w:pPr>
        <w:spacing w:line="360" w:lineRule="auto"/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</w:pPr>
      <w:bookmarkStart w:id="10" w:name="_GoBack"/>
      <w:r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  <w:t>附件1、采购需求：</w:t>
      </w:r>
    </w:p>
    <w:p w14:paraId="17480A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本船按列规则和</w:t>
      </w:r>
      <w:r>
        <w:rPr>
          <w:rFonts w:ascii="宋体" w:hAnsi="宋体" w:eastAsia="宋体"/>
          <w:color w:val="auto"/>
          <w:sz w:val="24"/>
          <w:lang w:val="en-US" w:eastAsia="zh-CN"/>
        </w:rPr>
        <w:t>规范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进行设计：</w:t>
      </w:r>
    </w:p>
    <w:p w14:paraId="59BE8E7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中华人民共和国海事局(CHINA  MSA)《沿海小型船舶检验技术规则》</w:t>
      </w:r>
      <w:r>
        <w:rPr>
          <w:rFonts w:ascii="宋体" w:hAnsi="宋体" w:eastAsia="宋体"/>
          <w:color w:val="auto"/>
          <w:sz w:val="24"/>
          <w:lang w:val="en-US" w:eastAsia="zh-CN"/>
        </w:rPr>
        <w:t>(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2016</w:t>
      </w:r>
      <w:r>
        <w:rPr>
          <w:rFonts w:ascii="宋体" w:hAnsi="宋体" w:eastAsia="宋体"/>
          <w:color w:val="auto"/>
          <w:sz w:val="24"/>
          <w:lang w:val="en-US" w:eastAsia="zh-CN"/>
        </w:rPr>
        <w:t>)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；</w:t>
      </w:r>
    </w:p>
    <w:p w14:paraId="0C310F5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中国船级社《小型海船</w:t>
      </w:r>
      <w:r>
        <w:rPr>
          <w:rFonts w:ascii="宋体" w:hAnsi="宋体" w:eastAsia="宋体"/>
          <w:color w:val="auto"/>
          <w:sz w:val="24"/>
          <w:lang w:val="en-US" w:eastAsia="zh-CN"/>
        </w:rPr>
        <w:t>入级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规范》（2021）</w:t>
      </w:r>
    </w:p>
    <w:p w14:paraId="6B47EF7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中华人民共和国海事局(CHINA  MSA)《吨位丈量规则》(2022)；</w:t>
      </w:r>
    </w:p>
    <w:p w14:paraId="0759AF2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中国船级社《船舶应用电池动力规范》(2023</w:t>
      </w:r>
      <w:r>
        <w:rPr>
          <w:rFonts w:ascii="宋体" w:hAnsi="宋体" w:eastAsia="宋体"/>
          <w:color w:val="auto"/>
          <w:sz w:val="24"/>
          <w:lang w:val="en-US" w:eastAsia="zh-CN"/>
        </w:rPr>
        <w:t>)；</w:t>
      </w:r>
    </w:p>
    <w:p w14:paraId="2959FC5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CCS《材料与焊接规范》(</w:t>
      </w:r>
      <w:r>
        <w:rPr>
          <w:rFonts w:ascii="宋体" w:hAnsi="宋体" w:eastAsia="宋体"/>
          <w:color w:val="auto"/>
          <w:sz w:val="24"/>
          <w:lang w:val="en-US" w:eastAsia="zh-CN"/>
        </w:rPr>
        <w:t>2023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)； </w:t>
      </w:r>
    </w:p>
    <w:p w14:paraId="42291E4B">
      <w:pPr>
        <w:pStyle w:val="5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0" w:name="_Toc129349004"/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1.3主要尺度及性能</w:t>
      </w:r>
      <w:bookmarkEnd w:id="0"/>
    </w:p>
    <w:p w14:paraId="78F97632">
      <w:pPr>
        <w:pStyle w:val="5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1.3.1主要尺度</w:t>
      </w:r>
    </w:p>
    <w:tbl>
      <w:tblPr>
        <w:tblStyle w:val="8"/>
        <w:tblW w:w="0" w:type="auto"/>
        <w:tblInd w:w="1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564"/>
        <w:gridCol w:w="1985"/>
      </w:tblGrid>
      <w:tr w14:paraId="791AC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72CDB5FB">
            <w:pPr>
              <w:ind w:firstLine="120" w:firstLineChars="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总    长</w:t>
            </w:r>
          </w:p>
        </w:tc>
        <w:tc>
          <w:tcPr>
            <w:tcW w:w="1564" w:type="dxa"/>
            <w:noWrap w:val="0"/>
            <w:vAlign w:val="center"/>
          </w:tcPr>
          <w:p w14:paraId="73C1740E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L</w:t>
            </w:r>
            <w:r>
              <w:rPr>
                <w:rFonts w:hint="eastAsia" w:ascii="宋体" w:hAnsi="宋体"/>
                <w:color w:val="auto"/>
                <w:sz w:val="24"/>
                <w:vertAlign w:val="subscript"/>
              </w:rPr>
              <w:t>oa</w:t>
            </w:r>
          </w:p>
        </w:tc>
        <w:tc>
          <w:tcPr>
            <w:tcW w:w="1985" w:type="dxa"/>
            <w:noWrap w:val="0"/>
            <w:vAlign w:val="center"/>
          </w:tcPr>
          <w:p w14:paraId="35B5BEFE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13</w:t>
            </w:r>
            <w:r>
              <w:rPr>
                <w:rFonts w:ascii="宋体" w:hAnsi="宋体"/>
                <w:color w:val="auto"/>
                <w:sz w:val="24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5</w:t>
            </w:r>
            <w:r>
              <w:rPr>
                <w:rFonts w:ascii="宋体" w:hAnsi="宋体"/>
                <w:color w:val="auto"/>
                <w:sz w:val="24"/>
              </w:rPr>
              <w:t>0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±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0.5</w:t>
            </w:r>
            <w:r>
              <w:rPr>
                <w:rFonts w:hint="eastAsia" w:ascii="宋体" w:hAnsi="宋体"/>
                <w:color w:val="auto"/>
                <w:sz w:val="24"/>
              </w:rPr>
              <w:t>m</w:t>
            </w:r>
          </w:p>
        </w:tc>
      </w:tr>
      <w:tr w14:paraId="144C6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47C1428B">
            <w:pPr>
              <w:ind w:firstLine="120" w:firstLineChars="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设计水线长</w:t>
            </w:r>
          </w:p>
        </w:tc>
        <w:tc>
          <w:tcPr>
            <w:tcW w:w="1564" w:type="dxa"/>
            <w:noWrap w:val="0"/>
            <w:vAlign w:val="center"/>
          </w:tcPr>
          <w:p w14:paraId="008B685E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L</w:t>
            </w:r>
            <w:r>
              <w:rPr>
                <w:rFonts w:ascii="宋体" w:hAnsi="宋体"/>
                <w:color w:val="auto"/>
                <w:sz w:val="24"/>
                <w:vertAlign w:val="subscript"/>
              </w:rPr>
              <w:t>WL</w:t>
            </w:r>
          </w:p>
        </w:tc>
        <w:tc>
          <w:tcPr>
            <w:tcW w:w="1985" w:type="dxa"/>
            <w:noWrap w:val="0"/>
            <w:vAlign w:val="center"/>
          </w:tcPr>
          <w:p w14:paraId="5B0F484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11</w:t>
            </w:r>
            <w:r>
              <w:rPr>
                <w:rFonts w:ascii="宋体"/>
                <w:color w:val="auto"/>
                <w:sz w:val="24"/>
              </w:rPr>
              <w:t>.</w:t>
            </w:r>
            <w:r>
              <w:rPr>
                <w:rFonts w:hint="eastAsia" w:ascii="宋体"/>
                <w:color w:val="auto"/>
                <w:sz w:val="24"/>
              </w:rPr>
              <w:t>8</w:t>
            </w:r>
            <w:r>
              <w:rPr>
                <w:rFonts w:ascii="宋体"/>
                <w:color w:val="auto"/>
                <w:sz w:val="24"/>
              </w:rPr>
              <w:t>0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±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0.5</w:t>
            </w:r>
            <w:r>
              <w:rPr>
                <w:rFonts w:hint="eastAsia" w:ascii="宋体" w:hAnsi="宋体"/>
                <w:color w:val="auto"/>
                <w:sz w:val="24"/>
              </w:rPr>
              <w:t>m</w:t>
            </w:r>
          </w:p>
        </w:tc>
      </w:tr>
      <w:tr w14:paraId="01356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7956C7EC">
            <w:pPr>
              <w:ind w:firstLine="120" w:firstLineChars="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型    宽</w:t>
            </w:r>
          </w:p>
        </w:tc>
        <w:tc>
          <w:tcPr>
            <w:tcW w:w="1564" w:type="dxa"/>
            <w:noWrap w:val="0"/>
            <w:vAlign w:val="center"/>
          </w:tcPr>
          <w:p w14:paraId="2FD7F6B5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B</w:t>
            </w:r>
          </w:p>
        </w:tc>
        <w:tc>
          <w:tcPr>
            <w:tcW w:w="1985" w:type="dxa"/>
            <w:noWrap w:val="0"/>
            <w:vAlign w:val="center"/>
          </w:tcPr>
          <w:p w14:paraId="1BA9F901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3</w:t>
            </w:r>
            <w:r>
              <w:rPr>
                <w:rFonts w:ascii="宋体"/>
                <w:color w:val="auto"/>
                <w:sz w:val="24"/>
              </w:rPr>
              <w:t>.</w:t>
            </w:r>
            <w:r>
              <w:rPr>
                <w:rFonts w:hint="eastAsia" w:ascii="宋体"/>
                <w:color w:val="auto"/>
                <w:sz w:val="24"/>
              </w:rPr>
              <w:t>5</w:t>
            </w:r>
            <w:r>
              <w:rPr>
                <w:rFonts w:ascii="宋体"/>
                <w:color w:val="auto"/>
                <w:sz w:val="24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±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0.05</w:t>
            </w:r>
            <w:r>
              <w:rPr>
                <w:rFonts w:ascii="宋体"/>
                <w:color w:val="auto"/>
                <w:sz w:val="24"/>
              </w:rPr>
              <w:t>m</w:t>
            </w:r>
          </w:p>
        </w:tc>
      </w:tr>
      <w:tr w14:paraId="3C015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23A354E2">
            <w:pPr>
              <w:ind w:firstLine="120" w:firstLineChars="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型    深</w:t>
            </w:r>
          </w:p>
        </w:tc>
        <w:tc>
          <w:tcPr>
            <w:tcW w:w="1564" w:type="dxa"/>
            <w:noWrap w:val="0"/>
            <w:vAlign w:val="center"/>
          </w:tcPr>
          <w:p w14:paraId="7B5DA0C3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D</w:t>
            </w:r>
          </w:p>
        </w:tc>
        <w:tc>
          <w:tcPr>
            <w:tcW w:w="1985" w:type="dxa"/>
            <w:noWrap w:val="0"/>
            <w:vAlign w:val="center"/>
          </w:tcPr>
          <w:p w14:paraId="21533A98">
            <w:pPr>
              <w:ind w:firstLine="120" w:firstLineChars="5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ascii="宋体" w:hAnsi="宋体"/>
                <w:color w:val="auto"/>
                <w:sz w:val="24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5</w:t>
            </w:r>
            <w:r>
              <w:rPr>
                <w:rFonts w:ascii="宋体" w:hAnsi="宋体"/>
                <w:color w:val="auto"/>
                <w:sz w:val="24"/>
              </w:rPr>
              <w:t>0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±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0.05</w:t>
            </w:r>
            <w:r>
              <w:rPr>
                <w:rFonts w:hint="eastAsia" w:ascii="宋体" w:hAnsi="宋体"/>
                <w:color w:val="auto"/>
                <w:sz w:val="24"/>
              </w:rPr>
              <w:t>m</w:t>
            </w:r>
          </w:p>
        </w:tc>
      </w:tr>
      <w:tr w14:paraId="07842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1F17CD68">
            <w:pPr>
              <w:ind w:firstLine="120" w:firstLineChars="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设 计 吃水</w:t>
            </w:r>
          </w:p>
        </w:tc>
        <w:tc>
          <w:tcPr>
            <w:tcW w:w="1564" w:type="dxa"/>
            <w:noWrap w:val="0"/>
            <w:vAlign w:val="center"/>
          </w:tcPr>
          <w:p w14:paraId="25235822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d</w:t>
            </w:r>
          </w:p>
        </w:tc>
        <w:tc>
          <w:tcPr>
            <w:tcW w:w="1985" w:type="dxa"/>
            <w:noWrap w:val="0"/>
            <w:vAlign w:val="center"/>
          </w:tcPr>
          <w:p w14:paraId="326BA42F">
            <w:pPr>
              <w:ind w:firstLine="120" w:firstLineChars="5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0</w:t>
            </w:r>
            <w:r>
              <w:rPr>
                <w:rFonts w:ascii="宋体" w:hAnsi="宋体"/>
                <w:color w:val="auto"/>
                <w:sz w:val="24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72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±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0.05</w:t>
            </w:r>
            <w:r>
              <w:rPr>
                <w:rFonts w:hint="eastAsia" w:ascii="宋体" w:hAnsi="宋体"/>
                <w:color w:val="auto"/>
                <w:sz w:val="24"/>
              </w:rPr>
              <w:t>m</w:t>
            </w:r>
          </w:p>
        </w:tc>
      </w:tr>
      <w:tr w14:paraId="219B8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3817F4F6">
            <w:pPr>
              <w:ind w:firstLine="120" w:firstLineChars="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肋      距</w:t>
            </w:r>
          </w:p>
        </w:tc>
        <w:tc>
          <w:tcPr>
            <w:tcW w:w="1564" w:type="dxa"/>
            <w:noWrap w:val="0"/>
            <w:vAlign w:val="center"/>
          </w:tcPr>
          <w:p w14:paraId="40F23B4C"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17F1BC23">
            <w:pPr>
              <w:ind w:firstLine="120" w:firstLineChars="5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default" w:ascii="Arial" w:hAnsi="Arial" w:cs="Arial"/>
                <w:color w:val="auto"/>
                <w:sz w:val="24"/>
              </w:rPr>
              <w:t>≤</w:t>
            </w:r>
            <w:r>
              <w:rPr>
                <w:rFonts w:ascii="宋体" w:hAnsi="宋体"/>
                <w:color w:val="auto"/>
                <w:sz w:val="24"/>
              </w:rPr>
              <w:t>0.50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m</w:t>
            </w:r>
          </w:p>
        </w:tc>
      </w:tr>
    </w:tbl>
    <w:p w14:paraId="269536D1">
      <w:pPr>
        <w:pStyle w:val="5"/>
        <w:rPr>
          <w:rFonts w:hint="eastAsia" w:ascii="宋体" w:hAnsi="宋体" w:eastAsia="宋体"/>
          <w:color w:val="auto"/>
          <w:sz w:val="24"/>
          <w:lang w:val="en-US" w:eastAsia="zh-CN"/>
        </w:rPr>
      </w:pPr>
    </w:p>
    <w:p w14:paraId="1802AAD6">
      <w:pPr>
        <w:pStyle w:val="5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1" w:name="_Toc129349005"/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2动力装置</w:t>
      </w:r>
      <w:bookmarkEnd w:id="1"/>
    </w:p>
    <w:p w14:paraId="17EE102C">
      <w:pPr>
        <w:pStyle w:val="5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2.1推进电机</w:t>
      </w:r>
    </w:p>
    <w:p w14:paraId="7531E2A3">
      <w:pPr>
        <w:pStyle w:val="5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推进电机</w:t>
      </w:r>
      <w:r>
        <w:rPr>
          <w:rFonts w:hint="eastAsia" w:ascii="宋体" w:hAnsi="宋体"/>
          <w:color w:val="auto"/>
          <w:sz w:val="24"/>
        </w:rPr>
        <w:t>额定功率</w:t>
      </w:r>
      <w:r>
        <w:rPr>
          <w:rFonts w:hint="eastAsia"/>
          <w:color w:val="auto"/>
          <w:sz w:val="24"/>
          <w:lang w:val="en-US" w:eastAsia="zh-CN"/>
        </w:rPr>
        <w:t>30KW，2台</w:t>
      </w:r>
    </w:p>
    <w:p w14:paraId="3AD6054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2.2动电池系统</w:t>
      </w:r>
    </w:p>
    <w:p w14:paraId="0E3AC05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电池包 </w:t>
      </w:r>
      <w:r>
        <w:rPr>
          <w:rFonts w:hint="eastAsia"/>
          <w:color w:val="auto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6只</w:t>
      </w:r>
    </w:p>
    <w:p w14:paraId="48BA680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域管理箱 </w:t>
      </w:r>
      <w:r>
        <w:rPr>
          <w:rFonts w:hint="default" w:ascii="Arial" w:hAnsi="Arial" w:eastAsia="宋体" w:cs="Arial"/>
          <w:color w:val="auto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2只</w:t>
      </w:r>
    </w:p>
    <w:p w14:paraId="50F3716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系统总储能</w:t>
      </w:r>
      <w:r>
        <w:rPr>
          <w:rFonts w:hint="default" w:ascii="Arial" w:hAnsi="Arial" w:eastAsia="宋体" w:cs="Arial"/>
          <w:color w:val="auto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97.98kWh</w:t>
      </w:r>
    </w:p>
    <w:p w14:paraId="30F8C31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系统通讯    CAN总线</w:t>
      </w:r>
    </w:p>
    <w:p w14:paraId="265D0BD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系统重量</w:t>
      </w:r>
      <w:r>
        <w:rPr>
          <w:rFonts w:hint="default" w:ascii="Arial" w:hAnsi="Arial" w:eastAsia="宋体" w:cs="Arial"/>
          <w:color w:val="auto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~1T（含电池架）</w:t>
      </w:r>
    </w:p>
    <w:p w14:paraId="2C8F06C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电池包温度  温度≤55℃，最大温差≤4℃</w:t>
      </w:r>
    </w:p>
    <w:p w14:paraId="2C5585D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安全性     满足过充，短路等安全测试要求;</w:t>
      </w:r>
    </w:p>
    <w:p w14:paraId="2AB1EBD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满足CCS认证要求</w:t>
      </w:r>
    </w:p>
    <w:p w14:paraId="0B41666A">
      <w:pPr>
        <w:pStyle w:val="5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2.4柴油发电机</w:t>
      </w:r>
    </w:p>
    <w:p w14:paraId="497F2B1A">
      <w:pPr>
        <w:pStyle w:val="5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发电机组功率20KW,1台。</w:t>
      </w:r>
    </w:p>
    <w:p w14:paraId="694ACB1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2" w:name="_Toc129349006"/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3航速</w:t>
      </w:r>
      <w:bookmarkEnd w:id="2"/>
    </w:p>
    <w:p w14:paraId="5E604F6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本船在设计满载吃水条件下，主机发出最大持续功率，光洁船身，蒲氏风不大于3级，水流平缓，深静水最高航速</w:t>
      </w:r>
      <w:r>
        <w:rPr>
          <w:rFonts w:hint="default" w:ascii="Arial" w:hAnsi="Arial" w:eastAsia="宋体" w:cs="Arial"/>
          <w:color w:val="auto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auto"/>
          <w:sz w:val="24"/>
          <w:highlight w:val="none"/>
          <w:lang w:val="en-US" w:eastAsia="zh-CN"/>
        </w:rPr>
        <w:t>10kn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，经济航速</w:t>
      </w:r>
      <w:r>
        <w:rPr>
          <w:rFonts w:hint="default" w:ascii="Arial" w:hAnsi="Arial" w:eastAsia="宋体" w:cs="Arial"/>
          <w:color w:val="auto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auto"/>
          <w:sz w:val="24"/>
          <w:highlight w:val="none"/>
          <w:lang w:val="en-US" w:eastAsia="zh-CN"/>
        </w:rPr>
        <w:t>6kn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。</w:t>
      </w:r>
    </w:p>
    <w:p w14:paraId="4ED5B84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3" w:name="_Toc129349007"/>
      <w:r>
        <w:rPr>
          <w:rFonts w:hint="eastAsia"/>
          <w:color w:val="auto"/>
          <w:sz w:val="24"/>
          <w:lang w:val="en-US" w:eastAsia="zh-CN"/>
        </w:rPr>
        <w:t>1.4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续航力</w:t>
      </w:r>
      <w:bookmarkEnd w:id="3"/>
    </w:p>
    <w:p w14:paraId="49EDD1A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本船经济航速续航力</w:t>
      </w:r>
      <w:r>
        <w:rPr>
          <w:rFonts w:hint="default" w:ascii="Arial" w:hAnsi="Arial" w:eastAsia="宋体" w:cs="Arial"/>
          <w:color w:val="auto"/>
          <w:sz w:val="24"/>
          <w:lang w:val="en-US" w:eastAsia="zh-CN"/>
        </w:rPr>
        <w:t>≥</w:t>
      </w:r>
      <w:r>
        <w:rPr>
          <w:rFonts w:hint="eastAsia"/>
          <w:color w:val="auto"/>
          <w:sz w:val="24"/>
          <w:lang w:val="en-US" w:eastAsia="zh-CN"/>
        </w:rPr>
        <w:t>35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海里</w:t>
      </w:r>
    </w:p>
    <w:p w14:paraId="0CAB781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4" w:name="_Toc129349009"/>
      <w:r>
        <w:rPr>
          <w:rFonts w:hint="eastAsia"/>
          <w:color w:val="auto"/>
          <w:sz w:val="24"/>
          <w:lang w:val="en-US" w:eastAsia="zh-CN"/>
        </w:rPr>
        <w:t>1.5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人员定额</w:t>
      </w:r>
      <w:bookmarkEnd w:id="4"/>
    </w:p>
    <w:p w14:paraId="283508C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 w:eastAsia="宋体"/>
          <w:color w:val="auto"/>
          <w:sz w:val="24"/>
          <w:lang w:val="en-US" w:eastAsia="zh-CN"/>
        </w:rPr>
        <w:t>船员定额 2 人，乘员定额 8 人。</w:t>
      </w:r>
    </w:p>
    <w:p w14:paraId="288335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5" w:name="_Toc129349010"/>
      <w:r>
        <w:rPr>
          <w:rFonts w:hint="eastAsia"/>
          <w:color w:val="auto"/>
          <w:sz w:val="24"/>
          <w:lang w:val="en-US" w:eastAsia="zh-CN"/>
        </w:rPr>
        <w:t>1.6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布置概况</w:t>
      </w:r>
      <w:bookmarkEnd w:id="5"/>
    </w:p>
    <w:p w14:paraId="729DDD8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1.6.1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主甲板以下</w:t>
      </w:r>
    </w:p>
    <w:p w14:paraId="50336E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6" w:name="OLE_LINK48"/>
      <w:r>
        <w:rPr>
          <w:rFonts w:hint="eastAsia"/>
          <w:color w:val="auto"/>
          <w:sz w:val="24"/>
          <w:lang w:val="en-US" w:eastAsia="zh-CN"/>
        </w:rPr>
        <w:t>应设有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艉尖舱</w:t>
      </w:r>
      <w:r>
        <w:rPr>
          <w:rFonts w:hint="eastAsia"/>
          <w:color w:val="auto"/>
          <w:sz w:val="24"/>
          <w:lang w:val="en-US" w:eastAsia="zh-CN"/>
        </w:rPr>
        <w:t>、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电池舱</w:t>
      </w:r>
      <w:r>
        <w:rPr>
          <w:rFonts w:hint="eastAsia"/>
          <w:color w:val="auto"/>
          <w:sz w:val="24"/>
          <w:lang w:val="en-US" w:eastAsia="zh-CN"/>
        </w:rPr>
        <w:t>、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设备舱</w:t>
      </w:r>
      <w:r>
        <w:rPr>
          <w:rFonts w:hint="eastAsia"/>
          <w:color w:val="auto"/>
          <w:sz w:val="24"/>
          <w:lang w:val="en-US" w:eastAsia="zh-CN"/>
        </w:rPr>
        <w:t>、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艏尖舱</w:t>
      </w:r>
      <w:r>
        <w:rPr>
          <w:rFonts w:hint="eastAsia"/>
          <w:color w:val="auto"/>
          <w:sz w:val="24"/>
          <w:lang w:val="en-US" w:eastAsia="zh-CN"/>
        </w:rPr>
        <w:t>、淡水箱、燃油箱、污水箱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。</w:t>
      </w:r>
    </w:p>
    <w:bookmarkEnd w:id="6"/>
    <w:p w14:paraId="6242184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1.6.2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主甲板</w:t>
      </w:r>
    </w:p>
    <w:p w14:paraId="24CD88B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7" w:name="OLE_LINK49"/>
      <w:r>
        <w:rPr>
          <w:rFonts w:hint="eastAsia"/>
          <w:color w:val="auto"/>
          <w:sz w:val="24"/>
          <w:lang w:val="en-US" w:eastAsia="zh-CN"/>
        </w:rPr>
        <w:t>应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设</w:t>
      </w:r>
      <w:r>
        <w:rPr>
          <w:rFonts w:hint="eastAsia"/>
          <w:color w:val="auto"/>
          <w:sz w:val="24"/>
          <w:lang w:val="en-US" w:eastAsia="zh-CN"/>
        </w:rPr>
        <w:t>有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卫生间、乘员</w:t>
      </w:r>
      <w:r>
        <w:rPr>
          <w:rFonts w:hint="eastAsia"/>
          <w:color w:val="auto"/>
          <w:sz w:val="24"/>
          <w:lang w:val="en-US" w:eastAsia="zh-CN"/>
        </w:rPr>
        <w:t>区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、驾驶</w:t>
      </w:r>
      <w:r>
        <w:rPr>
          <w:rFonts w:hint="eastAsia"/>
          <w:color w:val="auto"/>
          <w:sz w:val="24"/>
          <w:lang w:val="en-US" w:eastAsia="zh-CN"/>
        </w:rPr>
        <w:t>区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。</w:t>
      </w:r>
    </w:p>
    <w:p w14:paraId="15E7D33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b/>
          <w:bCs/>
          <w:color w:val="auto"/>
          <w:sz w:val="24"/>
          <w:lang w:val="en-US" w:eastAsia="zh-CN"/>
        </w:rPr>
      </w:pPr>
      <w:bookmarkStart w:id="8" w:name="_Toc129349012"/>
      <w:r>
        <w:rPr>
          <w:rFonts w:hint="eastAsia"/>
          <w:b/>
          <w:bCs/>
          <w:color w:val="auto"/>
          <w:sz w:val="24"/>
          <w:lang w:val="en-US" w:eastAsia="zh-CN"/>
        </w:rPr>
        <w:t>2</w:t>
      </w:r>
      <w:r>
        <w:rPr>
          <w:rFonts w:hint="eastAsia" w:ascii="宋体" w:hAnsi="宋体" w:eastAsia="宋体"/>
          <w:b/>
          <w:bCs/>
          <w:color w:val="auto"/>
          <w:sz w:val="24"/>
          <w:lang w:val="en-US" w:eastAsia="zh-CN"/>
        </w:rPr>
        <w:t>船体结构</w:t>
      </w:r>
      <w:bookmarkEnd w:id="8"/>
    </w:p>
    <w:p w14:paraId="13F88C2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bookmarkStart w:id="9" w:name="_Toc129349013"/>
      <w:r>
        <w:rPr>
          <w:rFonts w:hint="eastAsia"/>
          <w:color w:val="auto"/>
          <w:sz w:val="24"/>
          <w:lang w:val="en-US" w:eastAsia="zh-CN"/>
        </w:rPr>
        <w:t>2.1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概述</w:t>
      </w:r>
      <w:bookmarkEnd w:id="9"/>
    </w:p>
    <w:p w14:paraId="36523F4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2.1.1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本船为主船体为纵骨架式、上建横骨架式，单底全焊接结构。</w:t>
      </w:r>
    </w:p>
    <w:p w14:paraId="29F442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2.1.2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>本船结构材料为耐蚀铝材。船体结构材料均采“CCS”认可的材料。</w:t>
      </w:r>
    </w:p>
    <w:bookmarkEnd w:id="7"/>
    <w:p w14:paraId="27E427A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auto"/>
          <w:sz w:val="24"/>
          <w:lang w:val="en-US" w:eastAsia="zh-CN"/>
        </w:rPr>
      </w:pPr>
    </w:p>
    <w:p w14:paraId="462AF75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color w:val="auto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color w:val="auto"/>
          <w:sz w:val="24"/>
          <w:lang w:val="en-US" w:eastAsia="zh-CN"/>
        </w:rPr>
        <w:t>3.报价方应以本项目所涉及的有关项目的所有费用（包括不限于船舶设计、制造、安装、运输保险、调试、船检、试航、验收、技术资料(含完工图纸)、操作人员现场培训、一年质保期及送船至用户指 定码头、办理船舶检验证书（ccs）等费用。）进行报价</w:t>
      </w:r>
    </w:p>
    <w:p w14:paraId="5D19108A">
      <w:pPr>
        <w:bidi w:val="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</w:rPr>
        <w:t> </w:t>
      </w:r>
      <w:r>
        <w:rPr>
          <w:rFonts w:hint="eastAsia"/>
          <w:color w:val="auto"/>
          <w:lang w:val="en-US" w:eastAsia="zh-CN"/>
        </w:rPr>
        <w:t>附件2、报价格式</w:t>
      </w:r>
    </w:p>
    <w:p w14:paraId="6212963E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48"/>
          <w:szCs w:val="48"/>
          <w:highlight w:val="none"/>
          <w:lang w:val="en-US" w:eastAsia="zh-CN"/>
        </w:rPr>
        <w:t>报价</w:t>
      </w:r>
      <w:r>
        <w:rPr>
          <w:rStyle w:val="10"/>
          <w:rFonts w:hint="eastAsia" w:ascii="宋体" w:hAnsi="宋体" w:cs="宋体"/>
          <w:color w:val="auto"/>
          <w:sz w:val="48"/>
          <w:szCs w:val="48"/>
          <w:highlight w:val="none"/>
        </w:rPr>
        <w:t>文件</w:t>
      </w:r>
    </w:p>
    <w:p w14:paraId="2B57C72C">
      <w:pPr>
        <w:pStyle w:val="6"/>
        <w:widowControl/>
        <w:rPr>
          <w:rFonts w:hint="eastAsia" w:ascii="宋体" w:hAnsi="宋体" w:cs="宋体"/>
          <w:color w:val="auto"/>
          <w:sz w:val="36"/>
          <w:szCs w:val="36"/>
          <w:highlight w:val="none"/>
        </w:rPr>
      </w:pPr>
    </w:p>
    <w:p w14:paraId="61E5F9EC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 </w:t>
      </w:r>
    </w:p>
    <w:p w14:paraId="5CF7F20C">
      <w:pPr>
        <w:pStyle w:val="6"/>
        <w:widowControl/>
        <w:ind w:firstLine="1920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项目名称：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</w:p>
    <w:p w14:paraId="69F70903">
      <w:pPr>
        <w:pStyle w:val="6"/>
        <w:widowControl/>
        <w:ind w:firstLine="1920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lang w:val="en-US" w:eastAsia="zh-CN"/>
        </w:rPr>
        <w:t>项目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编号：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</w:p>
    <w:p w14:paraId="3A856F04">
      <w:pPr>
        <w:pStyle w:val="6"/>
        <w:widowControl/>
        <w:rPr>
          <w:rFonts w:hint="eastAsia" w:ascii="宋体" w:hAnsi="宋体" w:cs="宋体"/>
          <w:color w:val="auto"/>
          <w:sz w:val="36"/>
          <w:szCs w:val="36"/>
          <w:highlight w:val="none"/>
        </w:rPr>
      </w:pPr>
    </w:p>
    <w:p w14:paraId="75D4C4F3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 </w:t>
      </w:r>
    </w:p>
    <w:p w14:paraId="23CC2519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lang w:val="en-US" w:eastAsia="zh-CN"/>
        </w:rPr>
        <w:t>报价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（填写“全称”）</w:t>
      </w:r>
    </w:p>
    <w:p w14:paraId="6FBAB31A">
      <w:pPr>
        <w:pStyle w:val="6"/>
        <w:widowControl/>
        <w:jc w:val="center"/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年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月</w:t>
      </w:r>
    </w:p>
    <w:p w14:paraId="4EA7DC93">
      <w:pPr>
        <w:pStyle w:val="7"/>
        <w:jc w:val="center"/>
        <w:rPr>
          <w:rFonts w:hint="default" w:eastAsia="黑体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营业执照</w:t>
      </w:r>
    </w:p>
    <w:p w14:paraId="56EE5BE6">
      <w:pPr>
        <w:rPr>
          <w:color w:val="auto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69BE370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</w:rPr>
        <w:t>单位负责人授权书（若有）</w:t>
      </w:r>
    </w:p>
    <w:p w14:paraId="1991A45F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021DA6D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致：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</w:t>
      </w:r>
    </w:p>
    <w:p w14:paraId="595E146A">
      <w:pPr>
        <w:pStyle w:val="6"/>
        <w:widowControl/>
        <w:ind w:firstLine="420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我方的单位负责人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（填写“单位负责人全名”）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授权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代表全名”）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代表，代表我方参加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（填写“项目名称”）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项目（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项目编号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）的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，全权代表我方处理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过程的一切事宜，包括但不限于：参加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、谈判、澄清等。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代表在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过程中所签署的一切文件和处理与之有关的一切事务，我方均予以认可并对此承担责任。</w:t>
      </w:r>
    </w:p>
    <w:p w14:paraId="31ABE721">
      <w:pPr>
        <w:pStyle w:val="6"/>
        <w:widowControl/>
        <w:ind w:firstLine="420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代表无转委权。特此授权。</w:t>
      </w:r>
    </w:p>
    <w:p w14:paraId="1A25C30F">
      <w:pPr>
        <w:pStyle w:val="6"/>
        <w:widowControl/>
        <w:jc w:val="center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（以下无正文）</w:t>
      </w:r>
    </w:p>
    <w:p w14:paraId="1BEE0394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66B71977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单位负责人：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身份证号：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手机：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</w:t>
      </w:r>
    </w:p>
    <w:p w14:paraId="14943B0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身份证号：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手机：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</w:p>
    <w:p w14:paraId="39DE0BCF">
      <w:pPr>
        <w:pStyle w:val="6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 w14:paraId="35474AE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授权方</w:t>
      </w:r>
    </w:p>
    <w:p w14:paraId="27509FF8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（全称并加盖单位公章）</w:t>
      </w:r>
    </w:p>
    <w:p w14:paraId="35953DCF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单位负责人签字或盖章：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47F3CE0F">
      <w:pPr>
        <w:pStyle w:val="6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 w14:paraId="7988AA6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接受授权方</w:t>
      </w:r>
    </w:p>
    <w:p w14:paraId="79C3F339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代表签字：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0506C911">
      <w:pPr>
        <w:rPr>
          <w:color w:val="auto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D574319">
      <w:pPr>
        <w:pStyle w:val="6"/>
        <w:widowControl/>
        <w:jc w:val="center"/>
        <w:rPr>
          <w:rFonts w:hint="eastAsia" w:eastAsia="宋体"/>
          <w:color w:val="auto"/>
          <w:highlight w:val="none"/>
          <w:lang w:val="en-US" w:eastAsia="zh-CN"/>
        </w:rPr>
      </w:pP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</w:rPr>
        <w:t>报价</w:t>
      </w: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函</w:t>
      </w:r>
    </w:p>
    <w:p w14:paraId="6DBC138A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项目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编号：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</w:t>
      </w:r>
    </w:p>
    <w:p w14:paraId="67D32979">
      <w:pPr>
        <w:pStyle w:val="6"/>
        <w:widowControl/>
        <w:jc w:val="right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货币及单位：人民币元</w:t>
      </w:r>
    </w:p>
    <w:tbl>
      <w:tblPr>
        <w:tblStyle w:val="8"/>
        <w:tblW w:w="8520" w:type="dxa"/>
        <w:tblCellSpacing w:w="15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5"/>
        <w:gridCol w:w="955"/>
        <w:gridCol w:w="1499"/>
        <w:gridCol w:w="1237"/>
        <w:gridCol w:w="850"/>
        <w:gridCol w:w="991"/>
        <w:gridCol w:w="588"/>
        <w:gridCol w:w="1089"/>
        <w:gridCol w:w="826"/>
      </w:tblGrid>
      <w:tr w14:paraId="62357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B5B55F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合同包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862571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品目号</w:t>
            </w:r>
          </w:p>
        </w:tc>
        <w:tc>
          <w:tcPr>
            <w:tcW w:w="146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286446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标的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C5E522">
            <w:pPr>
              <w:pStyle w:val="6"/>
              <w:widowControl/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品牌、型号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D6CA38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来源地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4DD229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单价</w:t>
            </w:r>
          </w:p>
          <w:p w14:paraId="4F453B57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（现场）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0CE20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583540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总价</w:t>
            </w:r>
          </w:p>
          <w:p w14:paraId="5BE18861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（现场）</w:t>
            </w:r>
          </w:p>
        </w:tc>
        <w:tc>
          <w:tcPr>
            <w:tcW w:w="7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99AB8F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2713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87F0DA">
            <w:pPr>
              <w:pStyle w:val="6"/>
              <w:widowControl/>
              <w:jc w:val="center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790DBC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-1</w:t>
            </w:r>
          </w:p>
        </w:tc>
        <w:tc>
          <w:tcPr>
            <w:tcW w:w="146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765F25D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公务巡逻船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E4EA3B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622256A">
            <w:pPr>
              <w:widowControl/>
              <w:jc w:val="left"/>
              <w:rPr>
                <w:color w:val="auto"/>
                <w:highlight w:val="none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ED15129">
            <w:pPr>
              <w:pStyle w:val="6"/>
              <w:widowControl/>
              <w:jc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A08C63">
            <w:pPr>
              <w:pStyle w:val="6"/>
              <w:widowControl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1艘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26A1928">
            <w:pPr>
              <w:widowControl/>
              <w:jc w:val="left"/>
              <w:rPr>
                <w:color w:val="auto"/>
                <w:highlight w:val="none"/>
              </w:rPr>
            </w:pPr>
          </w:p>
        </w:tc>
        <w:tc>
          <w:tcPr>
            <w:tcW w:w="7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C723EA2">
            <w:pPr>
              <w:widowControl/>
              <w:jc w:val="left"/>
              <w:rPr>
                <w:color w:val="auto"/>
                <w:highlight w:val="none"/>
              </w:rPr>
            </w:pPr>
          </w:p>
        </w:tc>
      </w:tr>
    </w:tbl>
    <w:p w14:paraId="54F9373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05C5C32C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（全称并加盖单位公章）</w:t>
      </w:r>
    </w:p>
    <w:p w14:paraId="78E9250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人代表签字：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009A9804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日期：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日</w:t>
      </w:r>
    </w:p>
    <w:p w14:paraId="66460FD3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28100652">
      <w:pPr>
        <w:rPr>
          <w:color w:val="auto"/>
        </w:rPr>
      </w:pPr>
    </w:p>
    <w:bookmarkEnd w:id="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00000000"/>
    <w:rsid w:val="3AD860FA"/>
    <w:rsid w:val="453C4969"/>
    <w:rsid w:val="4D857100"/>
    <w:rsid w:val="545B16D1"/>
    <w:rsid w:val="6F5F60C9"/>
    <w:rsid w:val="7530098F"/>
    <w:rsid w:val="79E95EF7"/>
    <w:rsid w:val="7A3F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1"/>
    <w:rPr>
      <w:rFonts w:ascii="宋体" w:hAnsi="宋体"/>
      <w:sz w:val="24"/>
      <w:lang w:val="zh-CN" w:bidi="zh-CN"/>
    </w:rPr>
  </w:style>
  <w:style w:type="paragraph" w:styleId="6">
    <w:name w:val="Normal (Web)"/>
    <w:basedOn w:val="1"/>
    <w:next w:val="7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样式 标题 3 + (中文) 黑体 小四 非加粗 段前: 7.8 磅 段后: 0 磅 行距: 固定值 20 磅"/>
    <w:basedOn w:val="2"/>
    <w:qFormat/>
    <w:uiPriority w:val="0"/>
    <w:pPr>
      <w:spacing w:line="400" w:lineRule="exact"/>
    </w:pPr>
    <w:rPr>
      <w:rFonts w:eastAsia="黑体" w:cs="宋体"/>
      <w:b w:val="0"/>
      <w:bCs w:val="0"/>
      <w:sz w:val="24"/>
      <w:szCs w:val="20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1057</Words>
  <Characters>1231</Characters>
  <Paragraphs>128</Paragraphs>
  <TotalTime>14</TotalTime>
  <ScaleCrop>false</ScaleCrop>
  <LinksUpToDate>false</LinksUpToDate>
  <CharactersWithSpaces>1440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2024-08-01T02:04:00Z</dcterms:created>
  <dc:creator>哎哟＇喂</dc:creator>
  <cp:lastModifiedBy>中福招标</cp:lastModifiedBy>
  <dcterms:modified xsi:type="dcterms:W3CDTF">2024-11-13T09:17:36Z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6809FAA7DC7F420EBDBBD88C9F8D7F6D_13</vt:lpwstr>
  </property>
</Properties>
</file>